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6"/>
          <w:szCs w:val="36"/>
        </w:rPr>
      </w:pPr>
      <w:r>
        <w:rPr>
          <w:rFonts w:hint="eastAsia"/>
          <w:b/>
          <w:sz w:val="36"/>
          <w:szCs w:val="36"/>
        </w:rPr>
        <w:t>清单编制说明</w:t>
      </w:r>
    </w:p>
    <w:p>
      <w:pPr>
        <w:pStyle w:val="4"/>
        <w:spacing w:before="0" w:beforeAutospacing="0" w:after="0" w:afterAutospacing="0"/>
        <w:rPr>
          <w:sz w:val="28"/>
          <w:szCs w:val="28"/>
        </w:rPr>
      </w:pPr>
      <w:r>
        <w:rPr>
          <w:rFonts w:hint="eastAsia"/>
          <w:sz w:val="28"/>
          <w:szCs w:val="28"/>
        </w:rPr>
        <w:t>工程名称：</w:t>
      </w:r>
      <w:r>
        <w:rPr>
          <w:rFonts w:hint="eastAsia"/>
          <w:sz w:val="28"/>
          <w:szCs w:val="28"/>
          <w:u w:val="single"/>
        </w:rPr>
        <w:t>南京市玄武区锁金新村第一小学老教学楼屋顶防水及老教学楼四楼内墙出新工程</w:t>
      </w:r>
    </w:p>
    <w:p>
      <w:pPr>
        <w:pStyle w:val="4"/>
        <w:spacing w:before="0" w:beforeAutospacing="0" w:after="0" w:afterAutospacing="0"/>
        <w:rPr>
          <w:sz w:val="28"/>
          <w:szCs w:val="28"/>
        </w:rPr>
      </w:pPr>
      <w:r>
        <w:rPr>
          <w:rFonts w:hint="eastAsia"/>
          <w:sz w:val="28"/>
          <w:szCs w:val="28"/>
        </w:rPr>
        <w:t>一、工程概况</w:t>
      </w:r>
    </w:p>
    <w:p>
      <w:pPr>
        <w:pStyle w:val="4"/>
        <w:spacing w:before="0" w:beforeAutospacing="0" w:after="0" w:afterAutospacing="0"/>
        <w:ind w:firstLine="560" w:firstLineChars="200"/>
        <w:rPr>
          <w:sz w:val="28"/>
          <w:szCs w:val="28"/>
        </w:rPr>
      </w:pPr>
      <w:r>
        <w:rPr>
          <w:rFonts w:hint="eastAsia"/>
          <w:sz w:val="28"/>
          <w:szCs w:val="28"/>
          <w:u w:val="none"/>
        </w:rPr>
        <w:t>南京市玄武区锁金新村第一小学老教学楼屋顶防水及老教学楼四楼内墙出新</w:t>
      </w:r>
      <w:r>
        <w:rPr>
          <w:rFonts w:hint="eastAsia"/>
          <w:sz w:val="28"/>
          <w:szCs w:val="28"/>
        </w:rPr>
        <w:t>工程，项目地点位于</w:t>
      </w:r>
      <w:r>
        <w:rPr>
          <w:rFonts w:hint="eastAsia"/>
          <w:sz w:val="28"/>
          <w:szCs w:val="28"/>
          <w:u w:val="none"/>
        </w:rPr>
        <w:t>南京市玄武区锁金新村第一小学</w:t>
      </w:r>
      <w:r>
        <w:rPr>
          <w:rFonts w:hint="eastAsia"/>
          <w:sz w:val="28"/>
          <w:szCs w:val="28"/>
        </w:rPr>
        <w:t>校区。本项目包括</w:t>
      </w:r>
      <w:r>
        <w:rPr>
          <w:rFonts w:hint="eastAsia"/>
          <w:sz w:val="28"/>
          <w:szCs w:val="28"/>
          <w:lang w:val="en-US" w:eastAsia="zh-CN"/>
        </w:rPr>
        <w:t>老教学楼屋顶防水</w:t>
      </w:r>
      <w:r>
        <w:rPr>
          <w:rFonts w:hint="eastAsia"/>
          <w:sz w:val="28"/>
          <w:szCs w:val="28"/>
        </w:rPr>
        <w:t>、</w:t>
      </w:r>
      <w:r>
        <w:rPr>
          <w:rFonts w:hint="eastAsia"/>
          <w:sz w:val="28"/>
          <w:szCs w:val="28"/>
          <w:lang w:val="en-US" w:eastAsia="zh-CN"/>
        </w:rPr>
        <w:t>老教学楼四楼教室内墙面乳胶漆出新及部分地胶更换</w:t>
      </w:r>
      <w:r>
        <w:rPr>
          <w:rFonts w:hint="eastAsia"/>
          <w:sz w:val="28"/>
          <w:szCs w:val="28"/>
        </w:rPr>
        <w:t>。</w:t>
      </w:r>
    </w:p>
    <w:p>
      <w:pPr>
        <w:pStyle w:val="11"/>
        <w:ind w:firstLine="0" w:firstLineChars="0"/>
        <w:rPr>
          <w:sz w:val="28"/>
          <w:szCs w:val="28"/>
        </w:rPr>
      </w:pPr>
      <w:r>
        <w:rPr>
          <w:rFonts w:hint="eastAsia" w:ascii="宋体" w:hAnsi="宋体"/>
          <w:sz w:val="28"/>
          <w:szCs w:val="28"/>
        </w:rPr>
        <w:t>二、</w:t>
      </w:r>
      <w:r>
        <w:rPr>
          <w:rFonts w:hint="eastAsia" w:ascii="宋体" w:hAnsi="宋体"/>
          <w:sz w:val="28"/>
          <w:szCs w:val="28"/>
          <w:lang w:val="en-US" w:eastAsia="zh-CN"/>
        </w:rPr>
        <w:t>编制依据</w:t>
      </w:r>
    </w:p>
    <w:p>
      <w:pPr>
        <w:widowControl/>
        <w:ind w:firstLine="560" w:firstLineChars="200"/>
        <w:jc w:val="left"/>
        <w:rPr>
          <w:rFonts w:ascii="宋体" w:hAnsi="宋体"/>
          <w:sz w:val="28"/>
          <w:szCs w:val="28"/>
        </w:rPr>
      </w:pPr>
      <w:r>
        <w:rPr>
          <w:rFonts w:hint="eastAsia" w:ascii="宋体" w:hAnsi="宋体"/>
          <w:sz w:val="28"/>
          <w:szCs w:val="28"/>
        </w:rPr>
        <w:t>《建设工程工程量清单计价规范</w:t>
      </w:r>
      <w:r>
        <w:rPr>
          <w:rFonts w:ascii="宋体" w:hAnsi="宋体"/>
          <w:sz w:val="28"/>
          <w:szCs w:val="28"/>
        </w:rPr>
        <w:t>(GB50500-2013)</w:t>
      </w:r>
      <w:r>
        <w:rPr>
          <w:rFonts w:hint="eastAsia" w:ascii="宋体" w:hAnsi="宋体"/>
          <w:sz w:val="28"/>
          <w:szCs w:val="28"/>
        </w:rPr>
        <w:t>》、《房屋建筑与装饰工程工程量计算规范</w:t>
      </w:r>
      <w:r>
        <w:rPr>
          <w:rFonts w:ascii="宋体" w:hAnsi="宋体"/>
          <w:sz w:val="28"/>
          <w:szCs w:val="28"/>
        </w:rPr>
        <w:t>(GB50854-2013)</w:t>
      </w:r>
      <w:r>
        <w:rPr>
          <w:rFonts w:hint="eastAsia" w:ascii="宋体" w:hAnsi="宋体"/>
          <w:sz w:val="28"/>
          <w:szCs w:val="28"/>
        </w:rPr>
        <w:t>》、《通用安装工程工程量计算规范</w:t>
      </w:r>
      <w:r>
        <w:rPr>
          <w:rFonts w:ascii="宋体" w:hAnsi="宋体"/>
          <w:sz w:val="28"/>
          <w:szCs w:val="28"/>
        </w:rPr>
        <w:t>(GB50856-2013)</w:t>
      </w:r>
      <w:r>
        <w:rPr>
          <w:rFonts w:hint="eastAsia" w:ascii="宋体" w:hAnsi="宋体"/>
          <w:sz w:val="28"/>
          <w:szCs w:val="28"/>
        </w:rPr>
        <w:t>》、《通用市政工程工程量计算规范</w:t>
      </w:r>
      <w:r>
        <w:rPr>
          <w:rFonts w:ascii="宋体" w:hAnsi="宋体"/>
          <w:sz w:val="28"/>
          <w:szCs w:val="28"/>
        </w:rPr>
        <w:t>(GB50856-2013)</w:t>
      </w:r>
      <w:r>
        <w:rPr>
          <w:rFonts w:hint="eastAsia" w:ascii="宋体" w:hAnsi="宋体"/>
          <w:sz w:val="28"/>
          <w:szCs w:val="28"/>
        </w:rPr>
        <w:t>》、《江苏省建筑与装饰工程计价定额》（</w:t>
      </w:r>
      <w:r>
        <w:rPr>
          <w:rFonts w:ascii="宋体" w:hAnsi="宋体"/>
          <w:sz w:val="28"/>
          <w:szCs w:val="28"/>
        </w:rPr>
        <w:t>2014</w:t>
      </w:r>
      <w:r>
        <w:rPr>
          <w:rFonts w:hint="eastAsia" w:ascii="宋体" w:hAnsi="宋体"/>
          <w:sz w:val="28"/>
          <w:szCs w:val="28"/>
        </w:rPr>
        <w:t>年）、《江苏省安装工程计价定额》（</w:t>
      </w:r>
      <w:r>
        <w:rPr>
          <w:rFonts w:ascii="宋体" w:hAnsi="宋体"/>
          <w:sz w:val="28"/>
          <w:szCs w:val="28"/>
        </w:rPr>
        <w:t>2014</w:t>
      </w:r>
      <w:r>
        <w:rPr>
          <w:rFonts w:hint="eastAsia" w:ascii="宋体" w:hAnsi="宋体"/>
          <w:sz w:val="28"/>
          <w:szCs w:val="28"/>
        </w:rPr>
        <w:t>年）、《江苏省市政工程计价定额》（</w:t>
      </w:r>
      <w:r>
        <w:rPr>
          <w:rFonts w:ascii="宋体" w:hAnsi="宋体"/>
          <w:sz w:val="28"/>
          <w:szCs w:val="28"/>
        </w:rPr>
        <w:t>2014</w:t>
      </w:r>
      <w:r>
        <w:rPr>
          <w:rFonts w:hint="eastAsia" w:ascii="宋体" w:hAnsi="宋体"/>
          <w:sz w:val="28"/>
          <w:szCs w:val="28"/>
        </w:rPr>
        <w:t>年）、《江苏省房屋修缮工程预算定额》（2009年）及其相应的费用标准。</w:t>
      </w:r>
    </w:p>
    <w:p>
      <w:pPr>
        <w:rPr>
          <w:rFonts w:ascii="宋体" w:hAnsi="Arial" w:eastAsia="宋体" w:cs="宋体"/>
          <w:kern w:val="0"/>
          <w:sz w:val="28"/>
          <w:szCs w:val="28"/>
          <w:lang w:val="zh-CN"/>
        </w:rPr>
      </w:pPr>
      <w:r>
        <w:rPr>
          <w:rFonts w:hint="eastAsia" w:ascii="宋体" w:hAnsi="宋体"/>
          <w:sz w:val="28"/>
          <w:szCs w:val="28"/>
          <w:lang w:val="en-US" w:eastAsia="zh-CN"/>
        </w:rPr>
        <w:t>三</w:t>
      </w:r>
      <w:r>
        <w:rPr>
          <w:rFonts w:hint="eastAsia" w:ascii="宋体" w:hAnsi="宋体"/>
          <w:sz w:val="28"/>
          <w:szCs w:val="28"/>
        </w:rPr>
        <w:t>、</w:t>
      </w:r>
      <w:r>
        <w:rPr>
          <w:rFonts w:hint="eastAsia" w:ascii="宋体" w:hAnsi="Arial" w:eastAsia="宋体" w:cs="宋体"/>
          <w:kern w:val="0"/>
          <w:sz w:val="28"/>
          <w:szCs w:val="28"/>
          <w:lang w:val="zh-CN"/>
        </w:rPr>
        <w:t>工程量清单编制说明</w:t>
      </w:r>
    </w:p>
    <w:p>
      <w:pPr>
        <w:ind w:firstLine="560" w:firstLineChars="200"/>
        <w:rPr>
          <w:rFonts w:ascii="宋体" w:hAnsi="宋体"/>
          <w:sz w:val="28"/>
          <w:szCs w:val="28"/>
        </w:rPr>
      </w:pPr>
      <w:bookmarkStart w:id="0" w:name="_Hlk3299162"/>
      <w:bookmarkStart w:id="1" w:name="_Hlk39067149"/>
      <w:r>
        <w:rPr>
          <w:rFonts w:hint="eastAsia" w:ascii="宋体" w:hAnsi="宋体"/>
          <w:sz w:val="28"/>
          <w:szCs w:val="28"/>
          <w:lang w:val="en-US" w:eastAsia="zh-CN"/>
        </w:rPr>
        <w:t>1</w:t>
      </w:r>
      <w:r>
        <w:rPr>
          <w:rFonts w:hint="eastAsia" w:ascii="宋体" w:hAnsi="宋体"/>
          <w:sz w:val="28"/>
          <w:szCs w:val="28"/>
        </w:rPr>
        <w:t>、投标人自行勘察现场，充分考虑现场用水、电情况，综合考虑投标报价，结算时不调整；</w:t>
      </w:r>
    </w:p>
    <w:p>
      <w:pPr>
        <w:ind w:firstLine="560" w:firstLineChars="200"/>
        <w:rPr>
          <w:rFonts w:ascii="宋体" w:hAnsi="宋体"/>
          <w:sz w:val="28"/>
          <w:szCs w:val="28"/>
        </w:rPr>
      </w:pPr>
      <w:r>
        <w:rPr>
          <w:rFonts w:hint="eastAsia" w:ascii="宋体" w:hAnsi="宋体"/>
          <w:sz w:val="28"/>
          <w:szCs w:val="28"/>
          <w:lang w:val="en-US" w:eastAsia="zh-CN"/>
        </w:rPr>
        <w:t>2</w:t>
      </w:r>
      <w:r>
        <w:rPr>
          <w:rFonts w:hint="eastAsia" w:ascii="宋体" w:hAnsi="宋体"/>
          <w:sz w:val="28"/>
          <w:szCs w:val="28"/>
        </w:rPr>
        <w:t>、施工现场、交通运输情况及自然地理条件由投标人自行现场勘察，应充分考虑本工程场地现状的特点，可能对工程施工造成的影响并由此增加的二次搬运费用等，做出考量一并考虑在投标报价中；</w:t>
      </w:r>
    </w:p>
    <w:p>
      <w:pPr>
        <w:ind w:firstLine="560" w:firstLineChars="200"/>
        <w:rPr>
          <w:rFonts w:ascii="宋体" w:hAnsi="宋体"/>
          <w:sz w:val="28"/>
          <w:szCs w:val="28"/>
        </w:rPr>
      </w:pPr>
      <w:r>
        <w:rPr>
          <w:rFonts w:hint="eastAsia" w:ascii="宋体" w:hAnsi="宋体"/>
          <w:sz w:val="28"/>
          <w:szCs w:val="28"/>
          <w:lang w:val="en-US" w:eastAsia="zh-CN"/>
        </w:rPr>
        <w:t>3</w:t>
      </w:r>
      <w:r>
        <w:rPr>
          <w:rFonts w:hint="eastAsia" w:ascii="宋体" w:hAnsi="宋体"/>
          <w:sz w:val="28"/>
          <w:szCs w:val="28"/>
        </w:rPr>
        <w:t>、投标报价应满足规范及地方有关规定的要求，所发生的费用计入报价中；安全文明施工措施费的基本费费属于不可竞争费用，基本费结算时按相关文件规定执行，其余措施项目费用中标后不再调整；</w:t>
      </w:r>
    </w:p>
    <w:p>
      <w:pPr>
        <w:ind w:firstLine="560" w:firstLineChars="200"/>
        <w:rPr>
          <w:rFonts w:ascii="宋体" w:hAnsi="宋体"/>
          <w:sz w:val="28"/>
          <w:szCs w:val="28"/>
        </w:rPr>
      </w:pPr>
      <w:r>
        <w:rPr>
          <w:rFonts w:hint="eastAsia" w:ascii="宋体" w:hAnsi="宋体"/>
          <w:sz w:val="28"/>
          <w:szCs w:val="28"/>
          <w:lang w:val="en-US" w:eastAsia="zh-CN"/>
        </w:rPr>
        <w:t>4</w:t>
      </w:r>
      <w:r>
        <w:rPr>
          <w:rFonts w:hint="eastAsia" w:ascii="宋体" w:hAnsi="宋体"/>
          <w:sz w:val="28"/>
          <w:szCs w:val="28"/>
        </w:rPr>
        <w:t>、工程量清单中每一个子目的“项目特征”未说明或说明不全的，均按施工规范要求执行自行组价，并列入综合单价内。清单特征中未描述，但13计价规范中注明的工程内容，承包人在报价时应充分考虑“工程内容”而产生的费用，列入相应报价中；</w:t>
      </w:r>
    </w:p>
    <w:p>
      <w:pPr>
        <w:ind w:firstLine="560" w:firstLineChars="200"/>
        <w:rPr>
          <w:rFonts w:ascii="宋体" w:hAnsi="宋体"/>
          <w:sz w:val="28"/>
          <w:szCs w:val="28"/>
        </w:rPr>
      </w:pPr>
      <w:r>
        <w:rPr>
          <w:rFonts w:hint="eastAsia" w:ascii="宋体" w:hAnsi="宋体"/>
          <w:sz w:val="28"/>
          <w:szCs w:val="28"/>
          <w:lang w:val="en-US" w:eastAsia="zh-CN"/>
        </w:rPr>
        <w:t>5</w:t>
      </w:r>
      <w:r>
        <w:rPr>
          <w:rFonts w:hint="eastAsia" w:ascii="宋体" w:hAnsi="宋体"/>
          <w:sz w:val="28"/>
          <w:szCs w:val="28"/>
        </w:rPr>
        <w:t>、对于工程量清单中的“项目特征”，只是招标人对该部分项工程特征的概述，而非是工程特征的全部描述，计价时必须按施工</w:t>
      </w:r>
      <w:r>
        <w:rPr>
          <w:rFonts w:hint="eastAsia" w:ascii="宋体" w:hAnsi="宋体"/>
          <w:sz w:val="28"/>
          <w:szCs w:val="28"/>
          <w:lang w:val="en-US" w:eastAsia="zh-CN"/>
        </w:rPr>
        <w:t>现场情况</w:t>
      </w:r>
      <w:r>
        <w:rPr>
          <w:rFonts w:hint="eastAsia" w:ascii="宋体" w:hAnsi="宋体"/>
          <w:sz w:val="28"/>
          <w:szCs w:val="28"/>
        </w:rPr>
        <w:t>及相关国家规范的要求，同时应包括施工损耗及规范规定的富余数量的费用。</w:t>
      </w:r>
    </w:p>
    <w:p>
      <w:pPr>
        <w:rPr>
          <w:rFonts w:ascii="宋体" w:hAnsi="Arial" w:eastAsia="宋体" w:cs="宋体"/>
          <w:kern w:val="0"/>
          <w:sz w:val="28"/>
          <w:szCs w:val="28"/>
        </w:rPr>
      </w:pPr>
      <w:r>
        <w:rPr>
          <w:rFonts w:hint="eastAsia" w:ascii="宋体" w:hAnsi="宋体"/>
          <w:sz w:val="28"/>
          <w:szCs w:val="28"/>
          <w:lang w:val="en-US" w:eastAsia="zh-CN"/>
        </w:rPr>
        <w:t>四</w:t>
      </w:r>
      <w:r>
        <w:rPr>
          <w:rFonts w:hint="eastAsia" w:ascii="宋体" w:hAnsi="宋体"/>
          <w:sz w:val="28"/>
          <w:szCs w:val="28"/>
        </w:rPr>
        <w:t>、材料品牌</w:t>
      </w:r>
      <w:bookmarkEnd w:id="0"/>
    </w:p>
    <w:bookmarkEnd w:id="1"/>
    <w:p>
      <w:pPr>
        <w:jc w:val="center"/>
        <w:rPr>
          <w:rFonts w:ascii="宋体" w:hAnsi="宋体" w:eastAsia="宋体"/>
          <w:b/>
          <w:color w:val="000000" w:themeColor="text1"/>
          <w:sz w:val="32"/>
          <w:szCs w:val="32"/>
        </w:rPr>
      </w:pPr>
      <w:r>
        <w:rPr>
          <w:rFonts w:hint="eastAsia" w:ascii="宋体" w:hAnsi="宋体" w:eastAsia="宋体"/>
          <w:b/>
          <w:color w:val="000000" w:themeColor="text1"/>
          <w:sz w:val="32"/>
          <w:szCs w:val="32"/>
        </w:rPr>
        <w:t>推荐品牌表</w:t>
      </w:r>
    </w:p>
    <w:tbl>
      <w:tblPr>
        <w:tblStyle w:val="5"/>
        <w:tblW w:w="9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9"/>
        <w:gridCol w:w="991"/>
        <w:gridCol w:w="1338"/>
        <w:gridCol w:w="2816"/>
        <w:gridCol w:w="3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43" w:type="dxa"/>
            <w:gridSpan w:val="5"/>
            <w:tcMar>
              <w:top w:w="15" w:type="dxa"/>
              <w:left w:w="15" w:type="dxa"/>
              <w:right w:w="15" w:type="dxa"/>
            </w:tcMar>
            <w:vAlign w:val="center"/>
          </w:tcPr>
          <w:p>
            <w:pPr>
              <w:jc w:val="center"/>
              <w:rPr>
                <w:rFonts w:ascii="宋体" w:hAnsi="宋体" w:eastAsia="宋体"/>
                <w:b/>
                <w:color w:val="000000" w:themeColor="text1"/>
                <w:sz w:val="28"/>
                <w:szCs w:val="28"/>
              </w:rPr>
            </w:pPr>
            <w:r>
              <w:rPr>
                <w:rFonts w:hint="eastAsia" w:ascii="宋体" w:hAnsi="宋体" w:eastAsia="宋体"/>
                <w:b/>
                <w:color w:val="000000" w:themeColor="text1"/>
                <w:sz w:val="28"/>
                <w:szCs w:val="28"/>
              </w:rPr>
              <w:t>一、装修工程材料品牌表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 w:hRule="atLeast"/>
          <w:jc w:val="center"/>
        </w:trPr>
        <w:tc>
          <w:tcPr>
            <w:tcW w:w="429" w:type="dxa"/>
            <w:tcMar>
              <w:top w:w="15" w:type="dxa"/>
              <w:left w:w="15" w:type="dxa"/>
              <w:right w:w="15" w:type="dxa"/>
            </w:tcMar>
            <w:vAlign w:val="center"/>
          </w:tcPr>
          <w:p>
            <w:pPr>
              <w:jc w:val="center"/>
              <w:rPr>
                <w:color w:val="000000" w:themeColor="text1"/>
              </w:rPr>
            </w:pPr>
            <w:r>
              <w:rPr>
                <w:rFonts w:hint="eastAsia"/>
                <w:color w:val="000000" w:themeColor="text1"/>
              </w:rPr>
              <w:t>序号</w:t>
            </w:r>
          </w:p>
        </w:tc>
        <w:tc>
          <w:tcPr>
            <w:tcW w:w="2329" w:type="dxa"/>
            <w:gridSpan w:val="2"/>
            <w:tcMar>
              <w:top w:w="15" w:type="dxa"/>
              <w:left w:w="15" w:type="dxa"/>
              <w:right w:w="15" w:type="dxa"/>
            </w:tcMar>
            <w:vAlign w:val="center"/>
          </w:tcPr>
          <w:p>
            <w:pPr>
              <w:jc w:val="center"/>
              <w:rPr>
                <w:color w:val="000000" w:themeColor="text1"/>
              </w:rPr>
            </w:pPr>
            <w:r>
              <w:rPr>
                <w:rFonts w:hint="eastAsia"/>
                <w:color w:val="000000" w:themeColor="text1"/>
              </w:rPr>
              <w:t>材料名称</w:t>
            </w:r>
          </w:p>
        </w:tc>
        <w:tc>
          <w:tcPr>
            <w:tcW w:w="2816" w:type="dxa"/>
            <w:tcMar>
              <w:top w:w="15" w:type="dxa"/>
              <w:left w:w="15" w:type="dxa"/>
              <w:right w:w="15" w:type="dxa"/>
            </w:tcMar>
            <w:vAlign w:val="center"/>
          </w:tcPr>
          <w:p>
            <w:pPr>
              <w:jc w:val="center"/>
              <w:rPr>
                <w:color w:val="000000" w:themeColor="text1"/>
              </w:rPr>
            </w:pPr>
            <w:r>
              <w:rPr>
                <w:rFonts w:hint="eastAsia"/>
                <w:color w:val="000000" w:themeColor="text1"/>
              </w:rPr>
              <w:t>材料品牌或型号</w:t>
            </w:r>
          </w:p>
        </w:tc>
        <w:tc>
          <w:tcPr>
            <w:tcW w:w="3969" w:type="dxa"/>
            <w:vAlign w:val="center"/>
          </w:tcPr>
          <w:p>
            <w:pPr>
              <w:jc w:val="center"/>
              <w:rPr>
                <w:color w:val="000000" w:themeColor="text1"/>
              </w:rPr>
            </w:pPr>
            <w:r>
              <w:rPr>
                <w:rFonts w:hint="eastAsia"/>
                <w:color w:val="000000" w:themeColor="text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3" w:hRule="atLeast"/>
          <w:jc w:val="center"/>
        </w:trPr>
        <w:tc>
          <w:tcPr>
            <w:tcW w:w="429" w:type="dxa"/>
            <w:tcMar>
              <w:top w:w="15" w:type="dxa"/>
              <w:left w:w="15" w:type="dxa"/>
              <w:right w:w="15" w:type="dxa"/>
            </w:tcMar>
            <w:vAlign w:val="center"/>
          </w:tcPr>
          <w:p>
            <w:pPr>
              <w:jc w:val="center"/>
              <w:rPr>
                <w:rFonts w:hint="eastAsia" w:eastAsiaTheme="minorEastAsia"/>
                <w:color w:val="000000" w:themeColor="text1"/>
                <w:lang w:eastAsia="zh-CN"/>
              </w:rPr>
            </w:pPr>
            <w:r>
              <w:rPr>
                <w:rFonts w:hint="eastAsia"/>
                <w:color w:val="000000" w:themeColor="text1"/>
                <w:lang w:val="en-US" w:eastAsia="zh-CN"/>
              </w:rPr>
              <w:t>1</w:t>
            </w:r>
          </w:p>
        </w:tc>
        <w:tc>
          <w:tcPr>
            <w:tcW w:w="991" w:type="dxa"/>
            <w:tcMar>
              <w:top w:w="15" w:type="dxa"/>
              <w:left w:w="15" w:type="dxa"/>
              <w:right w:w="15" w:type="dxa"/>
            </w:tcMar>
            <w:vAlign w:val="center"/>
          </w:tcPr>
          <w:p>
            <w:pPr>
              <w:jc w:val="center"/>
              <w:rPr>
                <w:rFonts w:hint="eastAsia" w:eastAsiaTheme="minorEastAsia"/>
                <w:color w:val="000000" w:themeColor="text1"/>
                <w:lang w:val="en-US" w:eastAsia="zh-CN"/>
              </w:rPr>
            </w:pPr>
            <w:r>
              <w:rPr>
                <w:rFonts w:hint="eastAsia"/>
                <w:color w:val="000000" w:themeColor="text1"/>
                <w:lang w:val="en-US" w:eastAsia="zh-CN"/>
              </w:rPr>
              <w:t>防水材料</w:t>
            </w:r>
          </w:p>
        </w:tc>
        <w:tc>
          <w:tcPr>
            <w:tcW w:w="1338" w:type="dxa"/>
            <w:tcMar>
              <w:top w:w="15" w:type="dxa"/>
              <w:left w:w="15" w:type="dxa"/>
              <w:right w:w="15" w:type="dxa"/>
            </w:tcMar>
            <w:vAlign w:val="center"/>
          </w:tcPr>
          <w:p>
            <w:pPr>
              <w:jc w:val="center"/>
              <w:rPr>
                <w:color w:val="000000" w:themeColor="text1"/>
              </w:rPr>
            </w:pPr>
            <w:r>
              <w:rPr>
                <w:rFonts w:hint="eastAsia"/>
                <w:color w:val="000000" w:themeColor="text1"/>
              </w:rPr>
              <w:t>SBS防水卷材</w:t>
            </w:r>
          </w:p>
        </w:tc>
        <w:tc>
          <w:tcPr>
            <w:tcW w:w="2816" w:type="dxa"/>
            <w:tcMar>
              <w:top w:w="15" w:type="dxa"/>
              <w:left w:w="15" w:type="dxa"/>
              <w:right w:w="15" w:type="dxa"/>
            </w:tcMar>
            <w:vAlign w:val="center"/>
          </w:tcPr>
          <w:p>
            <w:pPr>
              <w:jc w:val="center"/>
              <w:rPr>
                <w:color w:val="000000" w:themeColor="text1"/>
              </w:rPr>
            </w:pPr>
            <w:r>
              <w:rPr>
                <w:rFonts w:hint="eastAsia"/>
                <w:color w:val="000000" w:themeColor="text1"/>
              </w:rPr>
              <w:t>东方雨虹、德高、卓宝、西卡、雨中情</w:t>
            </w:r>
          </w:p>
        </w:tc>
        <w:tc>
          <w:tcPr>
            <w:tcW w:w="3969" w:type="dxa"/>
            <w:vAlign w:val="center"/>
          </w:tcPr>
          <w:p>
            <w:pPr>
              <w:jc w:val="center"/>
              <w:rPr>
                <w:color w:val="000000" w:themeColor="text1"/>
              </w:rPr>
            </w:pPr>
            <w:r>
              <w:rPr>
                <w:rFonts w:hint="eastAsia"/>
                <w:color w:val="000000" w:themeColor="text1"/>
              </w:rPr>
              <w:t>抗冻低于-10度以上，满足设计要求。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9" w:hRule="atLeast"/>
          <w:jc w:val="center"/>
        </w:trPr>
        <w:tc>
          <w:tcPr>
            <w:tcW w:w="429" w:type="dxa"/>
            <w:tcMar>
              <w:top w:w="15" w:type="dxa"/>
              <w:left w:w="15" w:type="dxa"/>
              <w:right w:w="15" w:type="dxa"/>
            </w:tcMar>
            <w:vAlign w:val="center"/>
          </w:tcPr>
          <w:p>
            <w:pPr>
              <w:jc w:val="center"/>
              <w:rPr>
                <w:rFonts w:hint="eastAsia" w:eastAsiaTheme="minorEastAsia"/>
                <w:color w:val="000000" w:themeColor="text1"/>
                <w:lang w:eastAsia="zh-CN"/>
              </w:rPr>
            </w:pPr>
            <w:r>
              <w:rPr>
                <w:rFonts w:hint="eastAsia"/>
                <w:color w:val="000000" w:themeColor="text1"/>
                <w:lang w:val="en-US" w:eastAsia="zh-CN"/>
              </w:rPr>
              <w:t>2</w:t>
            </w:r>
          </w:p>
        </w:tc>
        <w:tc>
          <w:tcPr>
            <w:tcW w:w="991" w:type="dxa"/>
            <w:tcMar>
              <w:top w:w="15" w:type="dxa"/>
              <w:left w:w="15" w:type="dxa"/>
              <w:right w:w="15" w:type="dxa"/>
            </w:tcMar>
            <w:vAlign w:val="center"/>
          </w:tcPr>
          <w:p>
            <w:pPr>
              <w:jc w:val="center"/>
              <w:rPr>
                <w:color w:val="000000" w:themeColor="text1"/>
              </w:rPr>
            </w:pPr>
            <w:r>
              <w:rPr>
                <w:rFonts w:hint="eastAsia"/>
                <w:color w:val="000000" w:themeColor="text1"/>
              </w:rPr>
              <w:t>油漆</w:t>
            </w:r>
          </w:p>
        </w:tc>
        <w:tc>
          <w:tcPr>
            <w:tcW w:w="1338" w:type="dxa"/>
            <w:tcMar>
              <w:top w:w="15" w:type="dxa"/>
              <w:left w:w="15" w:type="dxa"/>
              <w:right w:w="15" w:type="dxa"/>
            </w:tcMar>
            <w:vAlign w:val="center"/>
          </w:tcPr>
          <w:p>
            <w:pPr>
              <w:jc w:val="center"/>
              <w:rPr>
                <w:color w:val="000000" w:themeColor="text1"/>
              </w:rPr>
            </w:pPr>
            <w:r>
              <w:rPr>
                <w:rFonts w:hint="eastAsia"/>
                <w:color w:val="000000" w:themeColor="text1"/>
              </w:rPr>
              <w:t>乳胶漆</w:t>
            </w:r>
          </w:p>
        </w:tc>
        <w:tc>
          <w:tcPr>
            <w:tcW w:w="2816" w:type="dxa"/>
            <w:tcMar>
              <w:top w:w="15" w:type="dxa"/>
              <w:left w:w="15" w:type="dxa"/>
              <w:right w:w="15" w:type="dxa"/>
            </w:tcMar>
            <w:vAlign w:val="center"/>
          </w:tcPr>
          <w:p>
            <w:pPr>
              <w:jc w:val="center"/>
              <w:rPr>
                <w:color w:val="000000" w:themeColor="text1"/>
              </w:rPr>
            </w:pPr>
            <w:r>
              <w:rPr>
                <w:rFonts w:hint="eastAsia"/>
                <w:color w:val="000000" w:themeColor="text1"/>
              </w:rPr>
              <w:t>多乐士、三棵树、立邦、</w:t>
            </w:r>
          </w:p>
          <w:p>
            <w:pPr>
              <w:jc w:val="center"/>
              <w:rPr>
                <w:color w:val="000000" w:themeColor="text1"/>
              </w:rPr>
            </w:pPr>
            <w:r>
              <w:rPr>
                <w:rFonts w:hint="eastAsia"/>
                <w:color w:val="000000" w:themeColor="text1"/>
              </w:rPr>
              <w:t>嘉宝莉</w:t>
            </w:r>
          </w:p>
        </w:tc>
        <w:tc>
          <w:tcPr>
            <w:tcW w:w="3969" w:type="dxa"/>
            <w:vAlign w:val="center"/>
          </w:tcPr>
          <w:p>
            <w:pPr>
              <w:jc w:val="left"/>
              <w:rPr>
                <w:color w:val="000000" w:themeColor="text1"/>
              </w:rPr>
            </w:pPr>
            <w:r>
              <w:rPr>
                <w:rFonts w:hint="eastAsia"/>
                <w:color w:val="000000" w:themeColor="text1"/>
              </w:rPr>
              <w:t>满足国家标准GB/T 1741-2007《漆膜耐霉菌性测定法》、GB18582-2009室内装饰装修材料内墙涂料有害物质限量及GB/T 9756-2009合成树脂乳液内墙涂料要求，环保等级达到E0级。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97" w:hRule="atLeast"/>
          <w:jc w:val="center"/>
        </w:trPr>
        <w:tc>
          <w:tcPr>
            <w:tcW w:w="429" w:type="dxa"/>
            <w:tcMar>
              <w:top w:w="15" w:type="dxa"/>
              <w:left w:w="15" w:type="dxa"/>
              <w:right w:w="15" w:type="dxa"/>
            </w:tcMar>
            <w:vAlign w:val="center"/>
          </w:tcPr>
          <w:p>
            <w:pPr>
              <w:jc w:val="center"/>
              <w:rPr>
                <w:rFonts w:hint="eastAsia" w:eastAsiaTheme="minorEastAsia"/>
                <w:color w:val="000000" w:themeColor="text1"/>
                <w:lang w:eastAsia="zh-CN"/>
              </w:rPr>
            </w:pPr>
            <w:r>
              <w:rPr>
                <w:rFonts w:hint="eastAsia"/>
                <w:color w:val="000000" w:themeColor="text1"/>
                <w:lang w:val="en-US" w:eastAsia="zh-CN"/>
              </w:rPr>
              <w:t>3</w:t>
            </w:r>
          </w:p>
        </w:tc>
        <w:tc>
          <w:tcPr>
            <w:tcW w:w="991" w:type="dxa"/>
            <w:tcMar>
              <w:top w:w="15" w:type="dxa"/>
              <w:left w:w="15" w:type="dxa"/>
              <w:right w:w="15" w:type="dxa"/>
            </w:tcMar>
            <w:vAlign w:val="center"/>
          </w:tcPr>
          <w:p>
            <w:pPr>
              <w:jc w:val="center"/>
              <w:rPr>
                <w:rFonts w:hint="default" w:eastAsiaTheme="minorEastAsia"/>
                <w:color w:val="000000" w:themeColor="text1"/>
                <w:lang w:val="en-US" w:eastAsia="zh-CN"/>
              </w:rPr>
            </w:pPr>
            <w:r>
              <w:rPr>
                <w:rFonts w:hint="eastAsia"/>
                <w:color w:val="000000" w:themeColor="text1"/>
                <w:lang w:val="en-US" w:eastAsia="zh-CN"/>
              </w:rPr>
              <w:t>地面装修材料</w:t>
            </w:r>
          </w:p>
        </w:tc>
        <w:tc>
          <w:tcPr>
            <w:tcW w:w="1338" w:type="dxa"/>
            <w:tcMar>
              <w:top w:w="15" w:type="dxa"/>
              <w:left w:w="15" w:type="dxa"/>
              <w:right w:w="15" w:type="dxa"/>
            </w:tcMar>
            <w:vAlign w:val="center"/>
          </w:tcPr>
          <w:p>
            <w:pPr>
              <w:jc w:val="center"/>
              <w:rPr>
                <w:color w:val="000000" w:themeColor="text1"/>
              </w:rPr>
            </w:pPr>
            <w:r>
              <w:rPr>
                <w:rFonts w:hint="eastAsia"/>
                <w:color w:val="000000" w:themeColor="text1"/>
              </w:rPr>
              <w:t>pvc地板</w:t>
            </w:r>
          </w:p>
        </w:tc>
        <w:tc>
          <w:tcPr>
            <w:tcW w:w="2816" w:type="dxa"/>
            <w:tcMar>
              <w:top w:w="15" w:type="dxa"/>
              <w:left w:w="15" w:type="dxa"/>
              <w:right w:w="15" w:type="dxa"/>
            </w:tcMar>
            <w:vAlign w:val="center"/>
          </w:tcPr>
          <w:p>
            <w:pPr>
              <w:jc w:val="center"/>
              <w:rPr>
                <w:rFonts w:hint="eastAsia" w:ascii="仿宋" w:hAnsi="仿宋" w:eastAsia="仿宋" w:cs="Times New Roman"/>
                <w:color w:val="000000" w:themeColor="text1"/>
                <w:sz w:val="24"/>
                <w:lang w:eastAsia="zh-CN"/>
              </w:rPr>
            </w:pPr>
            <w:r>
              <w:rPr>
                <w:rFonts w:hint="eastAsia" w:ascii="仿宋" w:hAnsi="仿宋" w:eastAsia="仿宋" w:cs="Times New Roman"/>
                <w:color w:val="000000" w:themeColor="text1"/>
                <w:sz w:val="24"/>
              </w:rPr>
              <w:t>LG</w:t>
            </w:r>
            <w:r>
              <w:rPr>
                <w:rFonts w:hint="eastAsia" w:ascii="仿宋" w:hAnsi="仿宋" w:eastAsia="仿宋" w:cs="Times New Roman"/>
                <w:color w:val="000000" w:themeColor="text1"/>
                <w:sz w:val="24"/>
                <w:lang w:eastAsia="zh-CN"/>
              </w:rPr>
              <w:t>、</w:t>
            </w:r>
          </w:p>
          <w:p>
            <w:pPr>
              <w:jc w:val="center"/>
              <w:rPr>
                <w:color w:val="000000" w:themeColor="text1"/>
              </w:rPr>
            </w:pPr>
            <w:r>
              <w:rPr>
                <w:rFonts w:hint="eastAsia"/>
                <w:color w:val="000000" w:themeColor="text1"/>
              </w:rPr>
              <w:t>莱泰克斯Lentex</w:t>
            </w:r>
          </w:p>
          <w:p>
            <w:pPr>
              <w:jc w:val="center"/>
              <w:rPr>
                <w:color w:val="000000" w:themeColor="text1"/>
              </w:rPr>
            </w:pPr>
          </w:p>
        </w:tc>
        <w:tc>
          <w:tcPr>
            <w:tcW w:w="3969" w:type="dxa"/>
            <w:vAlign w:val="center"/>
          </w:tcPr>
          <w:p>
            <w:pPr>
              <w:jc w:val="left"/>
              <w:rPr>
                <w:color w:val="000000" w:themeColor="text1"/>
              </w:rPr>
            </w:pPr>
            <w:r>
              <w:rPr>
                <w:rFonts w:hint="eastAsia"/>
                <w:color w:val="000000" w:themeColor="text1"/>
              </w:rPr>
              <w:t>1.除体育馆pvc运动地板外，其他部位pvc均用同质透心结构pvc地板，花纹上下一致，厚度：2mm,防火等级B1级；</w:t>
            </w:r>
          </w:p>
          <w:p>
            <w:pPr>
              <w:jc w:val="left"/>
              <w:rPr>
                <w:color w:val="000000" w:themeColor="text1"/>
              </w:rPr>
            </w:pPr>
            <w:r>
              <w:rPr>
                <w:rFonts w:hint="eastAsia"/>
                <w:color w:val="000000" w:themeColor="text1"/>
              </w:rPr>
              <w:t>2.耐磨等级T级，符合EN649及GB/T4085耐磨标准，防滑等级R9；</w:t>
            </w:r>
          </w:p>
          <w:p>
            <w:pPr>
              <w:jc w:val="left"/>
              <w:rPr>
                <w:color w:val="000000" w:themeColor="text1"/>
              </w:rPr>
            </w:pPr>
            <w:r>
              <w:rPr>
                <w:rFonts w:hint="eastAsia"/>
                <w:color w:val="000000" w:themeColor="text1"/>
              </w:rPr>
              <w:t>3.表面特殊处理，抗碘酊、紫药水、90%酒精、抗60%的硫酸，50%的浓碱，高锰酸钾，84消毒液等；</w:t>
            </w:r>
          </w:p>
          <w:p>
            <w:pPr>
              <w:jc w:val="left"/>
              <w:rPr>
                <w:color w:val="000000" w:themeColor="text1"/>
              </w:rPr>
            </w:pPr>
            <w:r>
              <w:rPr>
                <w:rFonts w:hint="eastAsia"/>
                <w:color w:val="000000" w:themeColor="text1"/>
              </w:rPr>
              <w:t>4.不得TVOC等有害物质超标，28天后TVOC排放量≤10微克每立方米，使用环保增塑剂，不含DOP、DEHP等有毒增塑剂，不含有甲醛，苯等有害物质，提供不含有重金属检测报告；</w:t>
            </w:r>
          </w:p>
          <w:p>
            <w:pPr>
              <w:jc w:val="left"/>
              <w:rPr>
                <w:color w:val="000000" w:themeColor="text1"/>
              </w:rPr>
            </w:pPr>
          </w:p>
        </w:tc>
      </w:tr>
    </w:tbl>
    <w:p>
      <w:pPr>
        <w:rPr>
          <w:color w:val="000000" w:themeColor="text1"/>
        </w:rPr>
      </w:pPr>
      <w:r>
        <w:rPr>
          <w:rFonts w:hint="eastAsia"/>
          <w:color w:val="000000" w:themeColor="text1"/>
        </w:rPr>
        <w:t>注：投标人所报材料品牌须与上表所列参考品牌同档次或高于参考品牌，并在“设备材料品牌响应表”中列明品牌。</w:t>
      </w:r>
    </w:p>
    <w:p>
      <w:pPr>
        <w:spacing w:line="360" w:lineRule="auto"/>
        <w:rPr>
          <w:rFonts w:ascii="宋体" w:hAnsi="宋体"/>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GQ5MmRmN2IwMDMxMDA1MzI5ZDk4Njc4NWY0NDk4YmQifQ=="/>
  </w:docVars>
  <w:rsids>
    <w:rsidRoot w:val="00172A27"/>
    <w:rsid w:val="00005E05"/>
    <w:rsid w:val="00007EEB"/>
    <w:rsid w:val="0004046F"/>
    <w:rsid w:val="000610DD"/>
    <w:rsid w:val="00071FDD"/>
    <w:rsid w:val="00097F53"/>
    <w:rsid w:val="000A2F1D"/>
    <w:rsid w:val="001020A5"/>
    <w:rsid w:val="00130BA1"/>
    <w:rsid w:val="00162368"/>
    <w:rsid w:val="00162D0B"/>
    <w:rsid w:val="001652CC"/>
    <w:rsid w:val="00170E51"/>
    <w:rsid w:val="00172A27"/>
    <w:rsid w:val="001A6DEE"/>
    <w:rsid w:val="001C38E9"/>
    <w:rsid w:val="001E2B0E"/>
    <w:rsid w:val="001E33D3"/>
    <w:rsid w:val="00204B6B"/>
    <w:rsid w:val="002352DA"/>
    <w:rsid w:val="00266277"/>
    <w:rsid w:val="002663FD"/>
    <w:rsid w:val="002674E6"/>
    <w:rsid w:val="002706ED"/>
    <w:rsid w:val="00284666"/>
    <w:rsid w:val="002B2E5D"/>
    <w:rsid w:val="002C40BA"/>
    <w:rsid w:val="002C4F48"/>
    <w:rsid w:val="002E3143"/>
    <w:rsid w:val="002E4ACB"/>
    <w:rsid w:val="002F52F0"/>
    <w:rsid w:val="00346296"/>
    <w:rsid w:val="003507DD"/>
    <w:rsid w:val="003531D2"/>
    <w:rsid w:val="00361E7C"/>
    <w:rsid w:val="00364E05"/>
    <w:rsid w:val="00374585"/>
    <w:rsid w:val="0037652D"/>
    <w:rsid w:val="003856E8"/>
    <w:rsid w:val="003B1A14"/>
    <w:rsid w:val="003B3DE7"/>
    <w:rsid w:val="003B4485"/>
    <w:rsid w:val="003F29E8"/>
    <w:rsid w:val="003F6A6C"/>
    <w:rsid w:val="00400D9B"/>
    <w:rsid w:val="00401B43"/>
    <w:rsid w:val="00410FC5"/>
    <w:rsid w:val="00446998"/>
    <w:rsid w:val="0044756D"/>
    <w:rsid w:val="00467787"/>
    <w:rsid w:val="0047688C"/>
    <w:rsid w:val="00491B3E"/>
    <w:rsid w:val="004C6C84"/>
    <w:rsid w:val="004D120C"/>
    <w:rsid w:val="004D5E14"/>
    <w:rsid w:val="004D7319"/>
    <w:rsid w:val="004D77AA"/>
    <w:rsid w:val="00506F1C"/>
    <w:rsid w:val="00522EBC"/>
    <w:rsid w:val="00532009"/>
    <w:rsid w:val="0054497F"/>
    <w:rsid w:val="00571646"/>
    <w:rsid w:val="00586197"/>
    <w:rsid w:val="005A1948"/>
    <w:rsid w:val="005A22A3"/>
    <w:rsid w:val="005E1C4F"/>
    <w:rsid w:val="005E3BCC"/>
    <w:rsid w:val="00606F69"/>
    <w:rsid w:val="00615F2E"/>
    <w:rsid w:val="00621C7B"/>
    <w:rsid w:val="0062249A"/>
    <w:rsid w:val="0063376A"/>
    <w:rsid w:val="006363E9"/>
    <w:rsid w:val="00641DB7"/>
    <w:rsid w:val="006549CD"/>
    <w:rsid w:val="006562C9"/>
    <w:rsid w:val="006748C3"/>
    <w:rsid w:val="00677AB6"/>
    <w:rsid w:val="00695143"/>
    <w:rsid w:val="0069666B"/>
    <w:rsid w:val="006A47EC"/>
    <w:rsid w:val="006C7011"/>
    <w:rsid w:val="006D46DA"/>
    <w:rsid w:val="006D784A"/>
    <w:rsid w:val="006E120E"/>
    <w:rsid w:val="006E2CA5"/>
    <w:rsid w:val="00701F62"/>
    <w:rsid w:val="00710A0E"/>
    <w:rsid w:val="0071382C"/>
    <w:rsid w:val="007555D9"/>
    <w:rsid w:val="00775D87"/>
    <w:rsid w:val="00780D13"/>
    <w:rsid w:val="007C72A2"/>
    <w:rsid w:val="007E75C7"/>
    <w:rsid w:val="007E7979"/>
    <w:rsid w:val="007F543F"/>
    <w:rsid w:val="0080182B"/>
    <w:rsid w:val="00805088"/>
    <w:rsid w:val="008113AF"/>
    <w:rsid w:val="008617BB"/>
    <w:rsid w:val="00861E80"/>
    <w:rsid w:val="00892B2B"/>
    <w:rsid w:val="008B32EF"/>
    <w:rsid w:val="008C0E6B"/>
    <w:rsid w:val="008C7F12"/>
    <w:rsid w:val="008F67CF"/>
    <w:rsid w:val="009138C6"/>
    <w:rsid w:val="00946787"/>
    <w:rsid w:val="00964714"/>
    <w:rsid w:val="00967C77"/>
    <w:rsid w:val="00970C07"/>
    <w:rsid w:val="00977359"/>
    <w:rsid w:val="00985551"/>
    <w:rsid w:val="00991829"/>
    <w:rsid w:val="009D4C8D"/>
    <w:rsid w:val="009E05BC"/>
    <w:rsid w:val="00A23FF9"/>
    <w:rsid w:val="00A319BD"/>
    <w:rsid w:val="00A42CC9"/>
    <w:rsid w:val="00A64634"/>
    <w:rsid w:val="00A66BCF"/>
    <w:rsid w:val="00A75F6A"/>
    <w:rsid w:val="00AA15B6"/>
    <w:rsid w:val="00AB229D"/>
    <w:rsid w:val="00AC5D3C"/>
    <w:rsid w:val="00B05D6B"/>
    <w:rsid w:val="00B15162"/>
    <w:rsid w:val="00B41257"/>
    <w:rsid w:val="00B4295F"/>
    <w:rsid w:val="00B47858"/>
    <w:rsid w:val="00B516AB"/>
    <w:rsid w:val="00B52D3C"/>
    <w:rsid w:val="00B63DBF"/>
    <w:rsid w:val="00B80126"/>
    <w:rsid w:val="00B80B8C"/>
    <w:rsid w:val="00B86034"/>
    <w:rsid w:val="00BA1241"/>
    <w:rsid w:val="00BA3FF8"/>
    <w:rsid w:val="00BA60C0"/>
    <w:rsid w:val="00C33343"/>
    <w:rsid w:val="00C413D8"/>
    <w:rsid w:val="00C4771E"/>
    <w:rsid w:val="00C86836"/>
    <w:rsid w:val="00CA3CA7"/>
    <w:rsid w:val="00CA4A05"/>
    <w:rsid w:val="00CC67C9"/>
    <w:rsid w:val="00CE48FE"/>
    <w:rsid w:val="00CE50FA"/>
    <w:rsid w:val="00CE5781"/>
    <w:rsid w:val="00CF1398"/>
    <w:rsid w:val="00D04300"/>
    <w:rsid w:val="00D10884"/>
    <w:rsid w:val="00D11F95"/>
    <w:rsid w:val="00D4215B"/>
    <w:rsid w:val="00D52844"/>
    <w:rsid w:val="00D82752"/>
    <w:rsid w:val="00DB4F4B"/>
    <w:rsid w:val="00DB57F5"/>
    <w:rsid w:val="00DB7EFC"/>
    <w:rsid w:val="00DC09AA"/>
    <w:rsid w:val="00DE2413"/>
    <w:rsid w:val="00DF5D63"/>
    <w:rsid w:val="00E25C6A"/>
    <w:rsid w:val="00E41C6E"/>
    <w:rsid w:val="00E453C8"/>
    <w:rsid w:val="00E72BD7"/>
    <w:rsid w:val="00E8793F"/>
    <w:rsid w:val="00EA0A5D"/>
    <w:rsid w:val="00EB700B"/>
    <w:rsid w:val="00EC6D60"/>
    <w:rsid w:val="00EE2D44"/>
    <w:rsid w:val="00EE3B0B"/>
    <w:rsid w:val="00F1026E"/>
    <w:rsid w:val="00F1291F"/>
    <w:rsid w:val="00F226AB"/>
    <w:rsid w:val="00F56310"/>
    <w:rsid w:val="00F60A0D"/>
    <w:rsid w:val="00F66AF5"/>
    <w:rsid w:val="00F67286"/>
    <w:rsid w:val="00F70DB7"/>
    <w:rsid w:val="00F73D5D"/>
    <w:rsid w:val="00F902B2"/>
    <w:rsid w:val="00F95F44"/>
    <w:rsid w:val="00FA4BCC"/>
    <w:rsid w:val="00FC4A70"/>
    <w:rsid w:val="00FD3555"/>
    <w:rsid w:val="00FD46E8"/>
    <w:rsid w:val="06CA46E2"/>
    <w:rsid w:val="094875EA"/>
    <w:rsid w:val="0955581C"/>
    <w:rsid w:val="0E357E31"/>
    <w:rsid w:val="1363219F"/>
    <w:rsid w:val="13685592"/>
    <w:rsid w:val="139705EE"/>
    <w:rsid w:val="1559359D"/>
    <w:rsid w:val="1DE81403"/>
    <w:rsid w:val="27EF377E"/>
    <w:rsid w:val="282446DA"/>
    <w:rsid w:val="2C432DB1"/>
    <w:rsid w:val="2E78702A"/>
    <w:rsid w:val="2F28231D"/>
    <w:rsid w:val="2F7845AB"/>
    <w:rsid w:val="2F7C09D8"/>
    <w:rsid w:val="337042F9"/>
    <w:rsid w:val="351745E3"/>
    <w:rsid w:val="3534266D"/>
    <w:rsid w:val="362E590D"/>
    <w:rsid w:val="38760BF7"/>
    <w:rsid w:val="39DA7429"/>
    <w:rsid w:val="3CDD1011"/>
    <w:rsid w:val="3E36312C"/>
    <w:rsid w:val="3EC324C0"/>
    <w:rsid w:val="40D67A06"/>
    <w:rsid w:val="41434693"/>
    <w:rsid w:val="43B96CA0"/>
    <w:rsid w:val="47CD0367"/>
    <w:rsid w:val="51EE2D02"/>
    <w:rsid w:val="529C0122"/>
    <w:rsid w:val="53227A61"/>
    <w:rsid w:val="54C15FBC"/>
    <w:rsid w:val="55C458E6"/>
    <w:rsid w:val="56207680"/>
    <w:rsid w:val="5C5269AA"/>
    <w:rsid w:val="5C827329"/>
    <w:rsid w:val="5E91111F"/>
    <w:rsid w:val="601856F1"/>
    <w:rsid w:val="611C6AB0"/>
    <w:rsid w:val="643017CF"/>
    <w:rsid w:val="648937E1"/>
    <w:rsid w:val="68075718"/>
    <w:rsid w:val="680F66F8"/>
    <w:rsid w:val="71DB41A4"/>
    <w:rsid w:val="72D059E6"/>
    <w:rsid w:val="7A757DDB"/>
    <w:rsid w:val="7BE92E4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3"/>
    <w:semiHidden/>
    <w:qFormat/>
    <w:uiPriority w:val="99"/>
    <w:rPr>
      <w:sz w:val="18"/>
      <w:szCs w:val="18"/>
    </w:rPr>
  </w:style>
  <w:style w:type="character" w:customStyle="1" w:styleId="9">
    <w:name w:val="页脚 Char"/>
    <w:basedOn w:val="7"/>
    <w:link w:val="2"/>
    <w:semiHidden/>
    <w:qFormat/>
    <w:uiPriority w:val="99"/>
    <w:rPr>
      <w:sz w:val="18"/>
      <w:szCs w:val="18"/>
    </w:rPr>
  </w:style>
  <w:style w:type="paragraph" w:customStyle="1" w:styleId="10">
    <w:name w:val="列出段落1"/>
    <w:basedOn w:val="1"/>
    <w:unhideWhenUsed/>
    <w:qFormat/>
    <w:uiPriority w:val="99"/>
    <w:pPr>
      <w:ind w:firstLine="420" w:firstLineChars="200"/>
    </w:pPr>
  </w:style>
  <w:style w:type="paragraph" w:styleId="1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AD114E-961B-4840-8088-DDDF74CFF00D}">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1222</Words>
  <Characters>1411</Characters>
  <Lines>63</Lines>
  <Paragraphs>17</Paragraphs>
  <TotalTime>105</TotalTime>
  <ScaleCrop>false</ScaleCrop>
  <LinksUpToDate>false</LinksUpToDate>
  <CharactersWithSpaces>1413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2016-08-06T00:01:00Z</dcterms:created>
  <dc:creator>lenovo</dc:creator>
  <cp:lastModifiedBy>学无止境</cp:lastModifiedBy>
  <dcterms:modified xsi:type="dcterms:W3CDTF">2022-06-24T07:43:40Z</dcterms:modified>
  <cp:revision>138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82B5C6D26D6E4750921B1AC7F8F07EB5</vt:lpwstr>
  </property>
</Properties>
</file>